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5057B" w14:textId="4CCE6439" w:rsidR="00C47349" w:rsidRPr="0052548E" w:rsidRDefault="00C47349" w:rsidP="00C47349">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FE395C">
        <w:rPr>
          <w:rFonts w:ascii="Arial" w:hAnsi="Arial" w:cs="Arial"/>
          <w:b/>
          <w:bCs/>
          <w:sz w:val="28"/>
        </w:rPr>
        <w:t>R1-19</w:t>
      </w:r>
      <w:r w:rsidR="00D532C2" w:rsidRPr="00FE395C">
        <w:rPr>
          <w:rFonts w:ascii="Arial" w:hAnsi="Arial" w:cs="Arial"/>
          <w:b/>
          <w:bCs/>
          <w:sz w:val="28"/>
        </w:rPr>
        <w:t>02966</w:t>
      </w:r>
    </w:p>
    <w:p w14:paraId="6950006B" w14:textId="0365F3B7" w:rsidR="00C47349" w:rsidRDefault="00C47349" w:rsidP="00C473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March,</w:t>
      </w:r>
      <w:proofErr w:type="gramEnd"/>
      <w:r>
        <w:rPr>
          <w:rFonts w:ascii="Arial" w:eastAsia="MS Mincho" w:hAnsi="Arial" w:cs="Arial"/>
          <w:b/>
          <w:bCs/>
          <w:sz w:val="28"/>
          <w:lang w:eastAsia="ja-JP"/>
        </w:rPr>
        <w:t xml:space="preserve">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63ECA5A" w14:textId="491550DC" w:rsidR="00FE395C" w:rsidRPr="004B6823" w:rsidRDefault="00D532C2" w:rsidP="00FE395C">
      <w:pPr>
        <w:ind w:left="1988" w:hanging="1988"/>
        <w:rPr>
          <w:rFonts w:ascii="Arial" w:hAnsi="Arial"/>
          <w:sz w:val="24"/>
        </w:rPr>
      </w:pPr>
      <w:r w:rsidRPr="0024076E">
        <w:rPr>
          <w:rFonts w:ascii="Arial" w:hAnsi="Arial" w:cs="Arial"/>
          <w:b/>
        </w:rPr>
        <w:t>Title:</w:t>
      </w:r>
      <w:r w:rsidRPr="0024076E">
        <w:rPr>
          <w:rFonts w:ascii="Arial" w:hAnsi="Arial" w:cs="Arial"/>
          <w:b/>
        </w:rPr>
        <w:tab/>
      </w:r>
      <w:r>
        <w:rPr>
          <w:rFonts w:ascii="Arial" w:hAnsi="Arial" w:cs="Arial"/>
          <w:bCs/>
        </w:rPr>
        <w:t>D</w:t>
      </w:r>
      <w:r w:rsidRPr="00E5774B">
        <w:rPr>
          <w:rFonts w:ascii="Arial" w:hAnsi="Arial" w:cs="Arial"/>
          <w:bCs/>
        </w:rPr>
        <w:t xml:space="preserve">raft </w:t>
      </w:r>
      <w:bookmarkStart w:id="2" w:name="_Hlk1165773"/>
      <w:r w:rsidRPr="0024076E">
        <w:rPr>
          <w:rFonts w:ascii="Arial" w:hAnsi="Arial" w:cs="Arial"/>
          <w:bCs/>
        </w:rPr>
        <w:t>LS</w:t>
      </w:r>
      <w:r>
        <w:rPr>
          <w:rFonts w:ascii="Arial" w:hAnsi="Arial" w:cs="Arial"/>
          <w:bCs/>
        </w:rPr>
        <w:t xml:space="preserve"> </w:t>
      </w:r>
      <w:r w:rsidR="00FE395C" w:rsidRPr="00FE395C">
        <w:rPr>
          <w:rFonts w:ascii="Arial" w:hAnsi="Arial"/>
        </w:rPr>
        <w:t>on PHR Procedure in Dual-Connectivity</w:t>
      </w:r>
      <w:bookmarkEnd w:id="2"/>
    </w:p>
    <w:p w14:paraId="3495551D" w14:textId="43FE1A2B" w:rsidR="00D532C2" w:rsidRPr="0024076E" w:rsidRDefault="00D532C2" w:rsidP="00D532C2">
      <w:pPr>
        <w:spacing w:after="60"/>
        <w:ind w:left="1985" w:hanging="1985"/>
        <w:rPr>
          <w:rFonts w:ascii="Arial" w:hAnsi="Arial" w:cs="Arial"/>
          <w:bCs/>
        </w:rPr>
      </w:pPr>
    </w:p>
    <w:p w14:paraId="5FEF0EA7" w14:textId="7B01C06A" w:rsidR="00D532C2" w:rsidRPr="0024076E" w:rsidRDefault="00D532C2" w:rsidP="00D532C2">
      <w:pPr>
        <w:spacing w:after="60"/>
        <w:ind w:left="1985" w:hanging="1985"/>
        <w:rPr>
          <w:rFonts w:ascii="Arial" w:hAnsi="Arial" w:cs="Arial"/>
          <w:bCs/>
        </w:rPr>
      </w:pPr>
      <w:r w:rsidRPr="0024076E">
        <w:rPr>
          <w:rFonts w:ascii="Arial" w:hAnsi="Arial" w:cs="Arial"/>
          <w:b/>
        </w:rPr>
        <w:t>Response to:</w:t>
      </w:r>
      <w:r w:rsidRPr="0024076E">
        <w:rPr>
          <w:rFonts w:ascii="Arial" w:hAnsi="Arial" w:cs="Arial"/>
          <w:bCs/>
        </w:rPr>
        <w:tab/>
      </w:r>
      <w:r w:rsidR="00FE395C" w:rsidRPr="00FE395C">
        <w:rPr>
          <w:rFonts w:ascii="Arial" w:hAnsi="Arial" w:cs="Arial"/>
          <w:bCs/>
        </w:rPr>
        <w:t>R2-1819101</w:t>
      </w:r>
      <w:r w:rsidR="00FE395C">
        <w:rPr>
          <w:rFonts w:ascii="Arial" w:hAnsi="Arial" w:cs="Arial"/>
          <w:bCs/>
        </w:rPr>
        <w:t xml:space="preserve"> (R1-1901487)</w:t>
      </w:r>
    </w:p>
    <w:p w14:paraId="711203B1" w14:textId="77777777" w:rsidR="00D532C2" w:rsidRPr="0024076E" w:rsidRDefault="00D532C2" w:rsidP="00D532C2">
      <w:pPr>
        <w:spacing w:after="60"/>
        <w:ind w:left="1985" w:hanging="1985"/>
        <w:rPr>
          <w:rFonts w:ascii="Arial" w:hAnsi="Arial" w:cs="Arial"/>
          <w:bCs/>
        </w:rPr>
      </w:pPr>
      <w:r w:rsidRPr="0024076E">
        <w:rPr>
          <w:rFonts w:ascii="Arial" w:hAnsi="Arial" w:cs="Arial"/>
          <w:b/>
        </w:rPr>
        <w:t>Release:</w:t>
      </w:r>
      <w:r w:rsidRPr="0024076E">
        <w:rPr>
          <w:rFonts w:ascii="Arial" w:hAnsi="Arial" w:cs="Arial"/>
          <w:bCs/>
        </w:rPr>
        <w:tab/>
        <w:t>Rel-15</w:t>
      </w:r>
    </w:p>
    <w:p w14:paraId="5B249423" w14:textId="77777777" w:rsidR="00D532C2" w:rsidRPr="0024076E" w:rsidRDefault="00D532C2" w:rsidP="00D532C2">
      <w:pPr>
        <w:spacing w:after="60"/>
        <w:ind w:left="1985" w:hanging="1985"/>
        <w:rPr>
          <w:rFonts w:ascii="Arial" w:hAnsi="Arial" w:cs="Arial"/>
          <w:bCs/>
        </w:rPr>
      </w:pPr>
      <w:r w:rsidRPr="0024076E">
        <w:rPr>
          <w:rFonts w:ascii="Arial" w:hAnsi="Arial" w:cs="Arial"/>
          <w:b/>
        </w:rPr>
        <w:t>Work Item:</w:t>
      </w:r>
      <w:r w:rsidRPr="0024076E">
        <w:rPr>
          <w:rFonts w:ascii="Arial" w:hAnsi="Arial" w:cs="Arial"/>
          <w:bCs/>
        </w:rPr>
        <w:tab/>
      </w:r>
      <w:proofErr w:type="spellStart"/>
      <w:r w:rsidRPr="0024076E">
        <w:rPr>
          <w:rFonts w:ascii="Arial" w:hAnsi="Arial" w:cs="Arial"/>
          <w:bCs/>
        </w:rPr>
        <w:t>NR_newRAT</w:t>
      </w:r>
      <w:proofErr w:type="spellEnd"/>
      <w:r w:rsidRPr="0024076E">
        <w:rPr>
          <w:rFonts w:ascii="Arial" w:hAnsi="Arial" w:cs="Arial"/>
          <w:bCs/>
        </w:rPr>
        <w:t>-Core</w:t>
      </w:r>
    </w:p>
    <w:p w14:paraId="2553DFDA" w14:textId="77777777" w:rsidR="00D532C2" w:rsidRPr="0024076E" w:rsidRDefault="00D532C2" w:rsidP="00D532C2">
      <w:pPr>
        <w:spacing w:after="60"/>
        <w:ind w:left="1985" w:hanging="1985"/>
        <w:rPr>
          <w:rFonts w:ascii="Arial" w:hAnsi="Arial" w:cs="Arial"/>
          <w:b/>
        </w:rPr>
      </w:pPr>
    </w:p>
    <w:p w14:paraId="1DBF7F92" w14:textId="365D4B0A" w:rsidR="00D532C2" w:rsidRPr="0024076E" w:rsidRDefault="00D532C2" w:rsidP="00D532C2">
      <w:pPr>
        <w:spacing w:after="60"/>
        <w:ind w:left="1985" w:hanging="1985"/>
        <w:rPr>
          <w:rFonts w:ascii="Arial" w:hAnsi="Arial" w:cs="Arial"/>
          <w:bCs/>
        </w:rPr>
      </w:pPr>
      <w:r w:rsidRPr="0024076E">
        <w:rPr>
          <w:rFonts w:ascii="Arial" w:hAnsi="Arial" w:cs="Arial"/>
          <w:b/>
        </w:rPr>
        <w:t>Source:</w:t>
      </w:r>
      <w:r w:rsidRPr="0024076E">
        <w:rPr>
          <w:rFonts w:ascii="Arial" w:hAnsi="Arial" w:cs="Arial"/>
          <w:bCs/>
        </w:rPr>
        <w:tab/>
      </w:r>
      <w:r>
        <w:rPr>
          <w:rFonts w:ascii="Arial" w:hAnsi="Arial" w:cs="Arial"/>
          <w:bCs/>
        </w:rPr>
        <w:t xml:space="preserve">[RAN1], </w:t>
      </w:r>
      <w:r w:rsidR="00FE395C">
        <w:rPr>
          <w:rFonts w:ascii="Arial" w:hAnsi="Arial" w:cs="Arial"/>
          <w:bCs/>
        </w:rPr>
        <w:t>Qualcomm</w:t>
      </w:r>
    </w:p>
    <w:p w14:paraId="568DC18E" w14:textId="73F69EE4" w:rsidR="00D532C2" w:rsidRDefault="00D532C2" w:rsidP="00D532C2">
      <w:pPr>
        <w:spacing w:after="60"/>
        <w:ind w:left="1985" w:hanging="1985"/>
        <w:rPr>
          <w:rFonts w:ascii="Arial" w:hAnsi="Arial" w:cs="Arial"/>
          <w:bCs/>
        </w:rPr>
      </w:pPr>
      <w:r>
        <w:rPr>
          <w:rFonts w:ascii="Arial" w:hAnsi="Arial" w:cs="Arial"/>
          <w:b/>
        </w:rPr>
        <w:t>To:</w:t>
      </w:r>
      <w:r>
        <w:rPr>
          <w:rFonts w:ascii="Arial" w:hAnsi="Arial" w:cs="Arial"/>
          <w:bCs/>
        </w:rPr>
        <w:tab/>
        <w:t>RAN2</w:t>
      </w:r>
    </w:p>
    <w:p w14:paraId="573A923A" w14:textId="77777777" w:rsidR="00FE395C" w:rsidRDefault="00FE395C" w:rsidP="00D532C2">
      <w:pPr>
        <w:spacing w:after="60"/>
        <w:ind w:left="1985" w:hanging="1985"/>
        <w:rPr>
          <w:rFonts w:ascii="Arial" w:hAnsi="Arial" w:cs="Arial"/>
          <w:bCs/>
        </w:rPr>
      </w:pPr>
    </w:p>
    <w:p w14:paraId="0E172379" w14:textId="77777777" w:rsidR="00FE395C" w:rsidRPr="00FE395C" w:rsidRDefault="00FE395C" w:rsidP="00FE395C">
      <w:pPr>
        <w:tabs>
          <w:tab w:val="left" w:pos="2268"/>
        </w:tabs>
        <w:overflowPunct/>
        <w:autoSpaceDE/>
        <w:autoSpaceDN/>
        <w:adjustRightInd/>
        <w:spacing w:after="0"/>
        <w:textAlignment w:val="auto"/>
        <w:rPr>
          <w:rFonts w:ascii="Arial" w:eastAsia="Times New Roman" w:hAnsi="Arial" w:cs="Arial"/>
          <w:bCs/>
          <w:lang w:val="en-GB"/>
        </w:rPr>
      </w:pPr>
      <w:r w:rsidRPr="00FE395C">
        <w:rPr>
          <w:rFonts w:ascii="Arial" w:eastAsia="Times New Roman" w:hAnsi="Arial" w:cs="Arial"/>
          <w:b/>
          <w:lang w:val="en-GB"/>
        </w:rPr>
        <w:t>Contact Person:</w:t>
      </w:r>
      <w:r w:rsidRPr="00FE395C">
        <w:rPr>
          <w:rFonts w:ascii="Arial" w:eastAsia="Times New Roman" w:hAnsi="Arial" w:cs="Arial"/>
          <w:bCs/>
          <w:lang w:val="en-GB"/>
        </w:rPr>
        <w:tab/>
      </w:r>
    </w:p>
    <w:p w14:paraId="28B89E58" w14:textId="1A7521C0" w:rsidR="00FE395C" w:rsidRPr="00FE395C" w:rsidRDefault="00FE395C" w:rsidP="00FE395C">
      <w:pPr>
        <w:keepNext/>
        <w:tabs>
          <w:tab w:val="left" w:pos="2268"/>
          <w:tab w:val="left" w:pos="2694"/>
        </w:tabs>
        <w:overflowPunct/>
        <w:autoSpaceDE/>
        <w:autoSpaceDN/>
        <w:adjustRightInd/>
        <w:spacing w:after="0"/>
        <w:ind w:left="567"/>
        <w:textAlignment w:val="auto"/>
        <w:outlineLvl w:val="3"/>
        <w:rPr>
          <w:rFonts w:ascii="Arial" w:eastAsia="Times New Roman" w:hAnsi="Arial" w:cs="Arial"/>
          <w:bCs/>
          <w:lang w:val="en-GB"/>
        </w:rPr>
      </w:pPr>
      <w:r w:rsidRPr="00FE395C">
        <w:rPr>
          <w:rFonts w:ascii="Arial" w:eastAsia="Times New Roman" w:hAnsi="Arial" w:cs="Arial"/>
          <w:b/>
          <w:lang w:val="en-GB"/>
        </w:rPr>
        <w:t>Name:</w:t>
      </w:r>
      <w:r w:rsidRPr="00FE395C">
        <w:rPr>
          <w:rFonts w:ascii="Arial" w:eastAsia="Times New Roman" w:hAnsi="Arial" w:cs="Arial"/>
          <w:bCs/>
          <w:lang w:val="en-GB"/>
        </w:rPr>
        <w:tab/>
      </w:r>
      <w:r w:rsidR="00111266">
        <w:rPr>
          <w:rFonts w:ascii="Arial" w:eastAsia="Times New Roman" w:hAnsi="Arial" w:cs="Arial"/>
          <w:bCs/>
          <w:lang w:val="en-GB"/>
        </w:rPr>
        <w:t>Xiao Feng Wang</w:t>
      </w:r>
    </w:p>
    <w:p w14:paraId="5721A1DD" w14:textId="6332A742" w:rsidR="00FE395C" w:rsidRPr="00111266" w:rsidRDefault="00FE395C" w:rsidP="00111266">
      <w:pPr>
        <w:keepNext/>
        <w:tabs>
          <w:tab w:val="left" w:pos="2268"/>
          <w:tab w:val="left" w:pos="2694"/>
        </w:tabs>
        <w:overflowPunct/>
        <w:autoSpaceDE/>
        <w:autoSpaceDN/>
        <w:adjustRightInd/>
        <w:spacing w:after="0"/>
        <w:ind w:left="567"/>
        <w:textAlignment w:val="auto"/>
        <w:outlineLvl w:val="6"/>
        <w:rPr>
          <w:rFonts w:ascii="Arial" w:eastAsia="Times New Roman" w:hAnsi="Arial" w:cs="Arial"/>
          <w:bCs/>
          <w:color w:val="0000FF"/>
          <w:lang w:val="fr-FR"/>
        </w:rPr>
      </w:pPr>
      <w:r w:rsidRPr="00FE395C">
        <w:rPr>
          <w:rFonts w:ascii="Arial" w:eastAsia="Times New Roman" w:hAnsi="Arial" w:cs="Arial"/>
          <w:b/>
          <w:color w:val="0000FF"/>
          <w:lang w:val="fr-FR"/>
        </w:rPr>
        <w:t xml:space="preserve">E-mail </w:t>
      </w:r>
      <w:proofErr w:type="spellStart"/>
      <w:proofErr w:type="gramStart"/>
      <w:r w:rsidRPr="00FE395C">
        <w:rPr>
          <w:rFonts w:ascii="Arial" w:eastAsia="Times New Roman" w:hAnsi="Arial" w:cs="Arial"/>
          <w:b/>
          <w:color w:val="0000FF"/>
          <w:lang w:val="fr-FR"/>
        </w:rPr>
        <w:t>Address</w:t>
      </w:r>
      <w:proofErr w:type="spellEnd"/>
      <w:r w:rsidRPr="00FE395C">
        <w:rPr>
          <w:rFonts w:ascii="Arial" w:eastAsia="Times New Roman" w:hAnsi="Arial" w:cs="Arial"/>
          <w:b/>
          <w:color w:val="0000FF"/>
          <w:lang w:val="fr-FR"/>
        </w:rPr>
        <w:t>:</w:t>
      </w:r>
      <w:proofErr w:type="gramEnd"/>
      <w:r w:rsidRPr="00FE395C">
        <w:rPr>
          <w:rFonts w:ascii="Arial" w:eastAsia="Times New Roman" w:hAnsi="Arial" w:cs="Arial"/>
          <w:bCs/>
          <w:color w:val="0000FF"/>
          <w:lang w:val="fr-FR"/>
        </w:rPr>
        <w:tab/>
      </w:r>
      <w:r>
        <w:rPr>
          <w:rFonts w:ascii="Arial" w:eastAsia="Times New Roman" w:hAnsi="Arial" w:cs="Arial"/>
          <w:bCs/>
          <w:color w:val="0000FF"/>
          <w:lang w:val="fr-FR"/>
        </w:rPr>
        <w:t>wangxiao</w:t>
      </w:r>
      <w:r w:rsidRPr="00FE395C">
        <w:rPr>
          <w:rFonts w:ascii="Arial" w:eastAsia="Times New Roman" w:hAnsi="Arial" w:cs="Arial"/>
          <w:bCs/>
          <w:color w:val="0000FF"/>
          <w:lang w:val="fr-FR"/>
        </w:rPr>
        <w:t>@qti.qualcomm.com</w:t>
      </w:r>
    </w:p>
    <w:p w14:paraId="1E18B2F0" w14:textId="77777777" w:rsidR="00D532C2" w:rsidRDefault="00D532C2" w:rsidP="00E44370">
      <w:pPr>
        <w:tabs>
          <w:tab w:val="left" w:pos="1985"/>
        </w:tabs>
        <w:rPr>
          <w:rFonts w:ascii="Arial" w:hAnsi="Arial"/>
          <w:b/>
          <w:sz w:val="24"/>
        </w:rPr>
      </w:pPr>
    </w:p>
    <w:bookmarkEnd w:id="0"/>
    <w:bookmarkEnd w:id="1"/>
    <w:p w14:paraId="26881B39" w14:textId="7424057B" w:rsidR="00C34C05" w:rsidRPr="0066529E" w:rsidRDefault="0066529E" w:rsidP="000A3CBA">
      <w:pPr>
        <w:pStyle w:val="Heading1"/>
        <w:jc w:val="both"/>
        <w:rPr>
          <w:b/>
          <w:sz w:val="20"/>
        </w:rPr>
      </w:pPr>
      <w:r w:rsidRPr="0066529E">
        <w:rPr>
          <w:b/>
          <w:sz w:val="20"/>
        </w:rPr>
        <w:t>Overall Description</w:t>
      </w:r>
    </w:p>
    <w:p w14:paraId="42240972" w14:textId="706A8612" w:rsidR="00EF5982" w:rsidRDefault="00EF5982" w:rsidP="003C644B">
      <w:r>
        <w:t xml:space="preserve">RAN1 would like to thank RAN2 for the LS R1-1901487 (R2-1819101) </w:t>
      </w:r>
      <w:r w:rsidRPr="00EF5982">
        <w:t>on PHR Procedure in Dual-Connectivity</w:t>
      </w:r>
      <w:r>
        <w:t>.</w:t>
      </w:r>
    </w:p>
    <w:p w14:paraId="0CCE010F" w14:textId="71D9670D" w:rsidR="003C644B" w:rsidRDefault="0066529E" w:rsidP="003C644B">
      <w:r>
        <w:t>RAN1 has discussed the LTE PHR procedure for EN-DC</w:t>
      </w:r>
      <w:r w:rsidR="00F642F1" w:rsidRPr="00F642F1">
        <w:t xml:space="preserve"> </w:t>
      </w:r>
      <w:r w:rsidR="003C644B">
        <w:t xml:space="preserve">and concluded that: </w:t>
      </w:r>
    </w:p>
    <w:p w14:paraId="18EE2814" w14:textId="6ECB0F4C" w:rsidR="003C644B" w:rsidRDefault="003C644B" w:rsidP="003C644B">
      <w:pPr>
        <w:pStyle w:val="ListParagraph"/>
        <w:numPr>
          <w:ilvl w:val="0"/>
          <w:numId w:val="41"/>
        </w:numPr>
        <w:rPr>
          <w:rFonts w:ascii="Times New Roman" w:hAnsi="Times New Roman"/>
          <w:sz w:val="20"/>
          <w:szCs w:val="20"/>
        </w:rPr>
      </w:pPr>
      <w:r w:rsidRPr="003C644B">
        <w:rPr>
          <w:rFonts w:ascii="Times New Roman" w:hAnsi="Times New Roman"/>
          <w:sz w:val="20"/>
          <w:szCs w:val="20"/>
        </w:rPr>
        <w:t xml:space="preserve">There is often not enough processing time for an LTE UL transmission to carry the PHR of a configured NR UL transmission that overlaps with the LTE transmission, regardless when the NR transmission is configured. </w:t>
      </w:r>
    </w:p>
    <w:p w14:paraId="7F16D1CA" w14:textId="77777777" w:rsidR="00095CC6" w:rsidRDefault="00095CC6" w:rsidP="00095CC6">
      <w:pPr>
        <w:pStyle w:val="ListParagraph"/>
        <w:rPr>
          <w:rFonts w:ascii="Times New Roman" w:hAnsi="Times New Roman"/>
          <w:sz w:val="20"/>
          <w:szCs w:val="20"/>
        </w:rPr>
      </w:pPr>
    </w:p>
    <w:p w14:paraId="4F438921" w14:textId="09F55906" w:rsidR="003C644B" w:rsidRDefault="00B76BFB" w:rsidP="003C644B">
      <w:r>
        <w:t>In light of the above conclusion</w:t>
      </w:r>
      <w:r w:rsidR="003C644B">
        <w:t>, RAN1 has agreed to the following</w:t>
      </w:r>
    </w:p>
    <w:p w14:paraId="11914DAD" w14:textId="3165BA13" w:rsidR="004A2353" w:rsidRPr="004A2353" w:rsidRDefault="004A2353" w:rsidP="004A2353">
      <w:pPr>
        <w:pStyle w:val="Default"/>
        <w:numPr>
          <w:ilvl w:val="0"/>
          <w:numId w:val="41"/>
        </w:numPr>
        <w:rPr>
          <w:sz w:val="20"/>
          <w:szCs w:val="20"/>
          <w:lang w:val="en-GB"/>
        </w:rPr>
      </w:pPr>
      <w:r w:rsidRPr="003C644B">
        <w:rPr>
          <w:sz w:val="20"/>
          <w:szCs w:val="20"/>
          <w:lang w:val="en-GB"/>
        </w:rPr>
        <w:t xml:space="preserve">For reporting NR PH </w:t>
      </w:r>
      <w:r>
        <w:rPr>
          <w:sz w:val="20"/>
          <w:szCs w:val="20"/>
          <w:lang w:val="en-GB"/>
        </w:rPr>
        <w:t>i</w:t>
      </w:r>
      <w:r w:rsidRPr="003C644B">
        <w:rPr>
          <w:sz w:val="20"/>
          <w:szCs w:val="20"/>
          <w:lang w:val="en-GB"/>
        </w:rPr>
        <w:t>n LTE, the first slot of an active NR BWP that starts within the LTE subframe</w:t>
      </w:r>
      <w:r>
        <w:rPr>
          <w:sz w:val="20"/>
          <w:szCs w:val="20"/>
          <w:lang w:val="en-GB"/>
        </w:rPr>
        <w:t xml:space="preserve"> carrying the PHR</w:t>
      </w:r>
      <w:r w:rsidRPr="003C644B">
        <w:rPr>
          <w:sz w:val="20"/>
          <w:szCs w:val="20"/>
          <w:lang w:val="en-GB"/>
        </w:rPr>
        <w:t xml:space="preserve"> is considered. </w:t>
      </w:r>
    </w:p>
    <w:p w14:paraId="00C0D849" w14:textId="6E79D32F" w:rsidR="003C644B" w:rsidRPr="004A2353" w:rsidRDefault="003C644B" w:rsidP="003C644B">
      <w:pPr>
        <w:pStyle w:val="Default"/>
        <w:numPr>
          <w:ilvl w:val="0"/>
          <w:numId w:val="41"/>
        </w:numPr>
        <w:rPr>
          <w:b/>
          <w:i/>
          <w:sz w:val="20"/>
          <w:szCs w:val="20"/>
          <w:lang w:val="en-GB"/>
        </w:rPr>
      </w:pPr>
      <w:r w:rsidRPr="003C644B">
        <w:rPr>
          <w:sz w:val="20"/>
          <w:szCs w:val="20"/>
          <w:lang w:val="en-GB"/>
        </w:rPr>
        <w:t xml:space="preserve">For reporting NR PH </w:t>
      </w:r>
      <w:r w:rsidR="004A2353">
        <w:rPr>
          <w:sz w:val="20"/>
          <w:szCs w:val="20"/>
          <w:lang w:val="en-GB"/>
        </w:rPr>
        <w:t>i</w:t>
      </w:r>
      <w:r w:rsidRPr="003C644B">
        <w:rPr>
          <w:sz w:val="20"/>
          <w:szCs w:val="20"/>
          <w:lang w:val="en-GB"/>
        </w:rPr>
        <w:t>n LTE, it is up to UE to decide if the PHR is based on a reference or real transmission.</w:t>
      </w:r>
      <w:r w:rsidRPr="003C644B">
        <w:rPr>
          <w:b/>
          <w:i/>
          <w:sz w:val="20"/>
          <w:szCs w:val="20"/>
          <w:lang w:val="en-GB"/>
        </w:rPr>
        <w:t xml:space="preserve"> </w:t>
      </w:r>
    </w:p>
    <w:p w14:paraId="40513818" w14:textId="32EB11C9" w:rsidR="004A2353" w:rsidRDefault="004A2353" w:rsidP="003C644B">
      <w:pPr>
        <w:pStyle w:val="Default"/>
        <w:numPr>
          <w:ilvl w:val="0"/>
          <w:numId w:val="41"/>
        </w:numPr>
        <w:rPr>
          <w:sz w:val="20"/>
          <w:szCs w:val="20"/>
          <w:lang w:val="en-GB"/>
        </w:rPr>
      </w:pPr>
      <w:r w:rsidRPr="004A2353">
        <w:rPr>
          <w:sz w:val="20"/>
          <w:szCs w:val="20"/>
          <w:lang w:val="en-GB"/>
        </w:rPr>
        <w:t>For reference PHR of NR to be reported in LTE, f(</w:t>
      </w:r>
      <w:proofErr w:type="spellStart"/>
      <w:r w:rsidRPr="004A2353">
        <w:rPr>
          <w:sz w:val="20"/>
          <w:szCs w:val="20"/>
          <w:lang w:val="en-GB"/>
        </w:rPr>
        <w:t>i,l</w:t>
      </w:r>
      <w:proofErr w:type="spellEnd"/>
      <w:r w:rsidRPr="004A2353">
        <w:rPr>
          <w:sz w:val="20"/>
          <w:szCs w:val="20"/>
          <w:lang w:val="en-GB"/>
        </w:rPr>
        <w:t>) should be allowed to include TPC accumulation up to any time in between PHR trigger and min{k2} slots prior to the reference slot</w:t>
      </w:r>
      <w:r w:rsidR="009C4B80">
        <w:rPr>
          <w:sz w:val="20"/>
          <w:szCs w:val="20"/>
          <w:lang w:val="en-GB"/>
        </w:rPr>
        <w:t>.</w:t>
      </w:r>
    </w:p>
    <w:p w14:paraId="1DE4F6B8" w14:textId="5DEC8221" w:rsidR="004A2353" w:rsidRPr="004A2353" w:rsidRDefault="004A2353" w:rsidP="004A2353">
      <w:pPr>
        <w:pStyle w:val="ListParagraph"/>
        <w:numPr>
          <w:ilvl w:val="0"/>
          <w:numId w:val="41"/>
        </w:numPr>
        <w:rPr>
          <w:rFonts w:ascii="Times New Roman" w:hAnsi="Times New Roman"/>
          <w:sz w:val="20"/>
          <w:szCs w:val="20"/>
        </w:rPr>
      </w:pPr>
      <w:r>
        <w:rPr>
          <w:rFonts w:ascii="Times New Roman" w:hAnsi="Times New Roman"/>
          <w:sz w:val="20"/>
          <w:szCs w:val="20"/>
        </w:rPr>
        <w:t>Because the accuracy of at least the NR PHR in LTE cannot be ensured, the necessity of supporting cross-air-interface PH could be reconsidered</w:t>
      </w:r>
      <w:r w:rsidRPr="004A2353">
        <w:rPr>
          <w:rFonts w:ascii="Times New Roman" w:hAnsi="Times New Roman"/>
          <w:sz w:val="20"/>
          <w:szCs w:val="20"/>
        </w:rPr>
        <w:t>.</w:t>
      </w:r>
    </w:p>
    <w:p w14:paraId="36BD7958" w14:textId="77777777" w:rsidR="004A2353" w:rsidRPr="003C644B" w:rsidRDefault="004A2353" w:rsidP="004A2353">
      <w:pPr>
        <w:pStyle w:val="Default"/>
        <w:rPr>
          <w:sz w:val="20"/>
          <w:szCs w:val="20"/>
          <w:lang w:val="en-GB"/>
        </w:rPr>
      </w:pPr>
    </w:p>
    <w:p w14:paraId="7C1374F3" w14:textId="0B300EED" w:rsidR="003C644B" w:rsidRDefault="003C644B" w:rsidP="003C644B">
      <w:pPr>
        <w:tabs>
          <w:tab w:val="left" w:pos="1836"/>
        </w:tabs>
      </w:pPr>
    </w:p>
    <w:p w14:paraId="1D91795B" w14:textId="77777777" w:rsidR="00095CC6" w:rsidRPr="00B956CE" w:rsidRDefault="00095CC6" w:rsidP="00095CC6">
      <w:pPr>
        <w:spacing w:after="120"/>
        <w:rPr>
          <w:rFonts w:ascii="Arial" w:hAnsi="Arial" w:cs="Arial"/>
          <w:b/>
        </w:rPr>
      </w:pPr>
      <w:r w:rsidRPr="00B956CE">
        <w:rPr>
          <w:rFonts w:ascii="Arial" w:hAnsi="Arial" w:cs="Arial"/>
          <w:b/>
        </w:rPr>
        <w:t>2. Actions:</w:t>
      </w:r>
    </w:p>
    <w:p w14:paraId="70E946E3" w14:textId="38B91017" w:rsidR="00095CC6" w:rsidRPr="00B956CE" w:rsidRDefault="00095CC6" w:rsidP="00FA5055">
      <w:pPr>
        <w:tabs>
          <w:tab w:val="left" w:pos="4044"/>
        </w:tabs>
        <w:spacing w:after="120"/>
        <w:ind w:left="1985" w:hanging="1985"/>
        <w:rPr>
          <w:rFonts w:ascii="Arial" w:hAnsi="Arial" w:cs="Arial"/>
          <w:b/>
        </w:rPr>
      </w:pPr>
      <w:r w:rsidRPr="00B956CE">
        <w:rPr>
          <w:rFonts w:ascii="Arial" w:hAnsi="Arial" w:cs="Arial"/>
          <w:b/>
        </w:rPr>
        <w:t>To RAN</w:t>
      </w:r>
      <w:r>
        <w:rPr>
          <w:rFonts w:ascii="Arial" w:hAnsi="Arial" w:cs="Arial"/>
          <w:b/>
        </w:rPr>
        <w:t>2</w:t>
      </w:r>
      <w:r w:rsidRPr="00B956CE">
        <w:rPr>
          <w:rFonts w:ascii="Arial" w:hAnsi="Arial" w:cs="Arial"/>
          <w:b/>
        </w:rPr>
        <w:t xml:space="preserve"> group.</w:t>
      </w:r>
      <w:r w:rsidR="00FA5055">
        <w:rPr>
          <w:rFonts w:ascii="Arial" w:hAnsi="Arial" w:cs="Arial"/>
          <w:b/>
        </w:rPr>
        <w:tab/>
      </w:r>
      <w:r w:rsidR="00FA5055">
        <w:rPr>
          <w:rFonts w:ascii="Arial" w:hAnsi="Arial" w:cs="Arial"/>
          <w:b/>
        </w:rPr>
        <w:tab/>
      </w:r>
    </w:p>
    <w:p w14:paraId="40516076" w14:textId="121FDFBB" w:rsidR="00095CC6" w:rsidRPr="00F05E11" w:rsidRDefault="00095CC6" w:rsidP="00095CC6">
      <w:pPr>
        <w:spacing w:after="120"/>
        <w:ind w:left="993" w:hanging="993"/>
      </w:pPr>
      <w:r w:rsidRPr="00B956CE">
        <w:rPr>
          <w:rFonts w:ascii="Arial" w:hAnsi="Arial" w:cs="Arial"/>
          <w:b/>
        </w:rPr>
        <w:t xml:space="preserve">ACTION: </w:t>
      </w:r>
      <w:r w:rsidRPr="00B956CE">
        <w:rPr>
          <w:rFonts w:ascii="Arial" w:hAnsi="Arial" w:cs="Arial"/>
          <w:b/>
        </w:rPr>
        <w:tab/>
      </w:r>
      <w:r w:rsidRPr="00F05E11">
        <w:t xml:space="preserve">RAN1 respectfully asks RAN2 to </w:t>
      </w:r>
      <w:r w:rsidR="006E36B0" w:rsidRPr="00F05E11">
        <w:t>consider</w:t>
      </w:r>
      <w:r w:rsidRPr="00F05E11">
        <w:t xml:space="preserve"> the above information </w:t>
      </w:r>
      <w:r w:rsidR="006E36B0" w:rsidRPr="00F05E11">
        <w:t>in their work</w:t>
      </w:r>
      <w:r w:rsidRPr="00F05E11">
        <w:t>.</w:t>
      </w:r>
    </w:p>
    <w:p w14:paraId="0CEE5B39" w14:textId="77777777" w:rsidR="00095CC6" w:rsidRDefault="00095CC6" w:rsidP="00095CC6">
      <w:pPr>
        <w:spacing w:after="120"/>
        <w:ind w:left="993" w:hanging="993"/>
        <w:rPr>
          <w:rFonts w:ascii="Arial" w:hAnsi="Arial" w:cs="Arial"/>
        </w:rPr>
      </w:pPr>
    </w:p>
    <w:p w14:paraId="2F2E50B5" w14:textId="77777777" w:rsidR="00095CC6" w:rsidRPr="00B956CE" w:rsidRDefault="00095CC6" w:rsidP="00095CC6">
      <w:pPr>
        <w:spacing w:after="120"/>
        <w:ind w:left="993" w:hanging="993"/>
        <w:rPr>
          <w:rFonts w:ascii="Arial" w:hAnsi="Arial" w:cs="Arial"/>
        </w:rPr>
      </w:pPr>
    </w:p>
    <w:p w14:paraId="1EDAEFAC" w14:textId="77777777" w:rsidR="00095CC6" w:rsidRPr="00B956CE" w:rsidRDefault="00095CC6" w:rsidP="00095CC6">
      <w:pPr>
        <w:spacing w:after="120"/>
        <w:rPr>
          <w:rFonts w:ascii="Arial" w:hAnsi="Arial" w:cs="Arial"/>
          <w:b/>
        </w:rPr>
      </w:pPr>
      <w:r w:rsidRPr="00B956CE">
        <w:rPr>
          <w:rFonts w:ascii="Arial" w:hAnsi="Arial" w:cs="Arial"/>
          <w:b/>
        </w:rPr>
        <w:t>3. Date of Next TSG-RAN1 Meetings:</w:t>
      </w:r>
    </w:p>
    <w:p w14:paraId="50294AA3" w14:textId="620E0B94" w:rsidR="00095CC6" w:rsidRPr="00234491" w:rsidRDefault="00095CC6" w:rsidP="00095CC6">
      <w:pPr>
        <w:tabs>
          <w:tab w:val="left" w:pos="2880"/>
          <w:tab w:val="left" w:pos="3600"/>
          <w:tab w:val="left" w:pos="5040"/>
          <w:tab w:val="left" w:pos="5103"/>
        </w:tabs>
        <w:spacing w:after="120"/>
        <w:ind w:left="2275" w:hanging="2275"/>
      </w:pPr>
      <w:r w:rsidRPr="00234491">
        <w:t>TSG-RAN1 Meeting #9</w:t>
      </w:r>
      <w:r w:rsidR="00DB2AB5" w:rsidRPr="00234491">
        <w:t>6bis</w:t>
      </w:r>
      <w:r w:rsidRPr="00234491">
        <w:tab/>
      </w:r>
      <w:r w:rsidR="00234491">
        <w:tab/>
        <w:t xml:space="preserve"> </w:t>
      </w:r>
      <w:bookmarkStart w:id="3" w:name="_GoBack"/>
      <w:bookmarkEnd w:id="3"/>
      <w:r w:rsidR="00DB2AB5" w:rsidRPr="00234491">
        <w:t>8</w:t>
      </w:r>
      <w:r w:rsidRPr="00234491">
        <w:t xml:space="preserve">th – </w:t>
      </w:r>
      <w:r w:rsidR="00DB2AB5" w:rsidRPr="00234491">
        <w:t>12</w:t>
      </w:r>
      <w:r w:rsidRPr="00234491">
        <w:t xml:space="preserve">th </w:t>
      </w:r>
      <w:r w:rsidR="00DB2AB5" w:rsidRPr="00234491">
        <w:t xml:space="preserve">April </w:t>
      </w:r>
      <w:r w:rsidRPr="00234491">
        <w:t>201</w:t>
      </w:r>
      <w:r w:rsidR="00DB2AB5" w:rsidRPr="00234491">
        <w:t>9</w:t>
      </w:r>
      <w:r w:rsidR="00F05E11" w:rsidRPr="00234491">
        <w:tab/>
      </w:r>
      <w:r w:rsidR="00DB2AB5" w:rsidRPr="00234491">
        <w:t>Xi’an</w:t>
      </w:r>
      <w:r w:rsidRPr="00234491">
        <w:t xml:space="preserve">, </w:t>
      </w:r>
      <w:r w:rsidR="00DB2AB5" w:rsidRPr="00234491">
        <w:t>China</w:t>
      </w:r>
    </w:p>
    <w:p w14:paraId="5B212F0C" w14:textId="59782F2B" w:rsidR="00095CC6" w:rsidRPr="00234491" w:rsidRDefault="00095CC6" w:rsidP="00095CC6">
      <w:pPr>
        <w:tabs>
          <w:tab w:val="left" w:pos="2880"/>
          <w:tab w:val="left" w:pos="3600"/>
          <w:tab w:val="left" w:pos="5040"/>
          <w:tab w:val="left" w:pos="5103"/>
        </w:tabs>
        <w:spacing w:after="120"/>
        <w:ind w:left="2275" w:hanging="2275"/>
      </w:pPr>
      <w:r w:rsidRPr="00234491">
        <w:t xml:space="preserve">TSG-RAN1 Meeting </w:t>
      </w:r>
      <w:r w:rsidR="00DB2AB5" w:rsidRPr="00234491">
        <w:t>#97</w:t>
      </w:r>
      <w:r w:rsidRPr="00234491">
        <w:tab/>
      </w:r>
      <w:r w:rsidRPr="00234491">
        <w:tab/>
      </w:r>
      <w:r w:rsidR="00DB2AB5" w:rsidRPr="00234491">
        <w:t>13th</w:t>
      </w:r>
      <w:r w:rsidRPr="00234491">
        <w:t xml:space="preserve"> – </w:t>
      </w:r>
      <w:r w:rsidR="00DB2AB5" w:rsidRPr="00234491">
        <w:t>17</w:t>
      </w:r>
      <w:r w:rsidRPr="00234491">
        <w:t xml:space="preserve">th </w:t>
      </w:r>
      <w:r w:rsidR="00DB2AB5" w:rsidRPr="00234491">
        <w:t>May</w:t>
      </w:r>
      <w:r w:rsidRPr="00234491">
        <w:t xml:space="preserve"> 2019</w:t>
      </w:r>
      <w:r w:rsidR="00F05E11" w:rsidRPr="00234491">
        <w:tab/>
      </w:r>
      <w:r w:rsidR="00DB2AB5" w:rsidRPr="00234491">
        <w:t>Reno, Nevada, USA</w:t>
      </w:r>
    </w:p>
    <w:p w14:paraId="45D5CA0F" w14:textId="77777777" w:rsidR="00CE53DF" w:rsidRDefault="00CE53DF" w:rsidP="00D6191A">
      <w:pPr>
        <w:pStyle w:val="B1"/>
        <w:ind w:left="0" w:firstLine="0"/>
      </w:pPr>
    </w:p>
    <w:sectPr w:rsidR="00CE53D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8C76B" w14:textId="77777777" w:rsidR="009131DE" w:rsidRDefault="009131DE">
      <w:r>
        <w:separator/>
      </w:r>
    </w:p>
  </w:endnote>
  <w:endnote w:type="continuationSeparator" w:id="0">
    <w:p w14:paraId="483652BB" w14:textId="77777777" w:rsidR="009131DE" w:rsidRDefault="009131DE">
      <w:r>
        <w:continuationSeparator/>
      </w:r>
    </w:p>
  </w:endnote>
  <w:endnote w:type="continuationNotice" w:id="1">
    <w:p w14:paraId="0300B41F" w14:textId="77777777" w:rsidR="009131DE" w:rsidRDefault="00913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88C7E" w14:textId="77777777" w:rsidR="009131DE" w:rsidRDefault="009131DE">
      <w:r>
        <w:separator/>
      </w:r>
    </w:p>
  </w:footnote>
  <w:footnote w:type="continuationSeparator" w:id="0">
    <w:p w14:paraId="6E717C3D" w14:textId="77777777" w:rsidR="009131DE" w:rsidRDefault="009131DE">
      <w:r>
        <w:continuationSeparator/>
      </w:r>
    </w:p>
  </w:footnote>
  <w:footnote w:type="continuationNotice" w:id="1">
    <w:p w14:paraId="3F972C5C" w14:textId="77777777" w:rsidR="009131DE" w:rsidRDefault="009131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B0B26"/>
    <w:multiLevelType w:val="hybridMultilevel"/>
    <w:tmpl w:val="B9489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825089"/>
    <w:multiLevelType w:val="hybridMultilevel"/>
    <w:tmpl w:val="99C45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num>
  <w:num w:numId="3">
    <w:abstractNumId w:val="4"/>
  </w:num>
  <w:num w:numId="4">
    <w:abstractNumId w:val="21"/>
  </w:num>
  <w:num w:numId="5">
    <w:abstractNumId w:val="18"/>
  </w:num>
  <w:num w:numId="6">
    <w:abstractNumId w:val="26"/>
  </w:num>
  <w:num w:numId="7">
    <w:abstractNumId w:val="39"/>
  </w:num>
  <w:num w:numId="8">
    <w:abstractNumId w:val="27"/>
  </w:num>
  <w:num w:numId="9">
    <w:abstractNumId w:val="24"/>
  </w:num>
  <w:num w:numId="10">
    <w:abstractNumId w:val="37"/>
  </w:num>
  <w:num w:numId="11">
    <w:abstractNumId w:val="23"/>
  </w:num>
  <w:num w:numId="12">
    <w:abstractNumId w:val="33"/>
  </w:num>
  <w:num w:numId="13">
    <w:abstractNumId w:val="25"/>
  </w:num>
  <w:num w:numId="14">
    <w:abstractNumId w:val="16"/>
  </w:num>
  <w:num w:numId="15">
    <w:abstractNumId w:val="11"/>
  </w:num>
  <w:num w:numId="16">
    <w:abstractNumId w:val="12"/>
  </w:num>
  <w:num w:numId="17">
    <w:abstractNumId w:val="28"/>
  </w:num>
  <w:num w:numId="18">
    <w:abstractNumId w:val="8"/>
  </w:num>
  <w:num w:numId="19">
    <w:abstractNumId w:val="20"/>
  </w:num>
  <w:num w:numId="20">
    <w:abstractNumId w:val="32"/>
  </w:num>
  <w:num w:numId="21">
    <w:abstractNumId w:val="36"/>
  </w:num>
  <w:num w:numId="22">
    <w:abstractNumId w:val="3"/>
  </w:num>
  <w:num w:numId="23">
    <w:abstractNumId w:val="31"/>
  </w:num>
  <w:num w:numId="24">
    <w:abstractNumId w:val="29"/>
  </w:num>
  <w:num w:numId="25">
    <w:abstractNumId w:val="22"/>
  </w:num>
  <w:num w:numId="26">
    <w:abstractNumId w:val="1"/>
  </w:num>
  <w:num w:numId="27">
    <w:abstractNumId w:val="34"/>
  </w:num>
  <w:num w:numId="28">
    <w:abstractNumId w:val="17"/>
  </w:num>
  <w:num w:numId="29">
    <w:abstractNumId w:val="5"/>
  </w:num>
  <w:num w:numId="30">
    <w:abstractNumId w:val="1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3"/>
  </w:num>
  <w:num w:numId="34">
    <w:abstractNumId w:val="14"/>
  </w:num>
  <w:num w:numId="35">
    <w:abstractNumId w:val="35"/>
  </w:num>
  <w:num w:numId="36">
    <w:abstractNumId w:val="2"/>
  </w:num>
  <w:num w:numId="37">
    <w:abstractNumId w:val="10"/>
  </w:num>
  <w:num w:numId="38">
    <w:abstractNumId w:val="9"/>
  </w:num>
  <w:num w:numId="39">
    <w:abstractNumId w:val="30"/>
  </w:num>
  <w:num w:numId="40">
    <w:abstractNumId w:val="6"/>
  </w:num>
  <w:num w:numId="41">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CC6"/>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266"/>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91"/>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4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28E"/>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53"/>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194"/>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29E"/>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6A5"/>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6B0"/>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06"/>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1DE"/>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80"/>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BFB"/>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34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2DD2"/>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445"/>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2C2"/>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91A"/>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AB5"/>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6A2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982"/>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1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2F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55"/>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073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95C"/>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44FA115D-280D-433F-B1D5-D5624EBC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19</cp:revision>
  <cp:lastPrinted>2014-11-07T05:38:00Z</cp:lastPrinted>
  <dcterms:created xsi:type="dcterms:W3CDTF">2019-02-15T21:36:00Z</dcterms:created>
  <dcterms:modified xsi:type="dcterms:W3CDTF">2019-02-16T07:34:00Z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